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361" w:firstLineChars="100"/>
        <w:jc w:val="both"/>
        <w:rPr>
          <w:rFonts w:hint="eastAsia"/>
          <w:b/>
          <w:bCs/>
          <w:sz w:val="36"/>
          <w:szCs w:val="36"/>
          <w:lang w:eastAsia="zh-CN"/>
        </w:rPr>
      </w:pPr>
      <w:r>
        <w:rPr>
          <w:rFonts w:hint="eastAsia"/>
          <w:b/>
          <w:bCs/>
          <w:sz w:val="36"/>
          <w:szCs w:val="36"/>
          <w:lang w:eastAsia="zh-CN"/>
        </w:rPr>
        <w:t>应用技术学院</w:t>
      </w:r>
      <w:r>
        <w:rPr>
          <w:rFonts w:hint="eastAsia"/>
          <w:b/>
          <w:bCs/>
          <w:sz w:val="36"/>
          <w:szCs w:val="36"/>
          <w:lang w:val="en-US" w:eastAsia="zh-CN"/>
        </w:rPr>
        <w:t>2023年寒</w:t>
      </w:r>
      <w:r>
        <w:rPr>
          <w:rFonts w:hint="eastAsia"/>
          <w:b/>
          <w:bCs/>
          <w:sz w:val="36"/>
          <w:szCs w:val="36"/>
          <w:lang w:eastAsia="zh-CN"/>
        </w:rPr>
        <w:t>假轮休值班情况记录表</w:t>
      </w:r>
    </w:p>
    <w:tbl>
      <w:tblPr>
        <w:tblStyle w:val="3"/>
        <w:tblpPr w:leftFromText="180" w:rightFromText="180" w:vertAnchor="text" w:horzAnchor="page" w:tblpX="1972" w:tblpY="567"/>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355"/>
        <w:gridCol w:w="294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685"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值班人员：</w:t>
            </w: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值班日期（日期和时间）：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59" w:type="dxa"/>
            <w:gridSpan w:val="4"/>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值班人员交接</w:t>
            </w:r>
            <w:r>
              <w:rPr>
                <w:rFonts w:hint="eastAsia" w:ascii="宋体" w:hAnsi="宋体" w:eastAsia="宋体" w:cs="宋体"/>
                <w:sz w:val="24"/>
                <w:szCs w:val="24"/>
                <w:vertAlign w:val="baseline"/>
                <w:lang w:val="en-US" w:eastAsia="zh-CN"/>
              </w:rPr>
              <w:t xml:space="preserve">     </w:t>
            </w:r>
          </w:p>
          <w:p>
            <w:pPr>
              <w:ind w:firstLine="2880" w:firstLineChars="1200"/>
              <w:jc w:val="left"/>
              <w:rPr>
                <w:rFonts w:hint="default" w:ascii="宋体" w:hAnsi="宋体" w:eastAsia="宋体" w:cs="宋体"/>
                <w:sz w:val="24"/>
                <w:szCs w:val="24"/>
                <w:vertAlign w:val="baseline"/>
                <w:lang w:val="en-US" w:eastAsia="zh-CN"/>
              </w:rPr>
            </w:pPr>
            <w:bookmarkStart w:id="0" w:name="_GoBack"/>
            <w:bookmarkEnd w:id="0"/>
            <w:r>
              <w:rPr>
                <w:rFonts w:hint="eastAsia" w:ascii="宋体" w:hAnsi="宋体" w:eastAsia="宋体" w:cs="宋体"/>
                <w:sz w:val="24"/>
                <w:szCs w:val="24"/>
                <w:vertAlign w:val="baseline"/>
                <w:lang w:val="en-US" w:eastAsia="zh-CN"/>
              </w:rPr>
              <w:t>前续人：             后续人：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30" w:type="dxa"/>
            <w:vMerge w:val="restart"/>
          </w:tcPr>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办公室值班和关键场所巡查情况</w:t>
            </w:r>
          </w:p>
          <w:p>
            <w:pPr>
              <w:jc w:val="center"/>
              <w:rPr>
                <w:rFonts w:hint="eastAsia" w:ascii="宋体" w:hAnsi="宋体" w:eastAsia="宋体" w:cs="宋体"/>
                <w:sz w:val="24"/>
                <w:szCs w:val="24"/>
                <w:vertAlign w:val="baseline"/>
                <w:lang w:eastAsia="zh-CN"/>
              </w:rPr>
            </w:pPr>
          </w:p>
        </w:tc>
        <w:tc>
          <w:tcPr>
            <w:tcW w:w="2355" w:type="dxa"/>
            <w:vMerge w:val="restart"/>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办公室值班</w:t>
            </w: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火、电、水情况：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vMerge w:val="continue"/>
          </w:tcPr>
          <w:p>
            <w:pPr>
              <w:jc w:val="center"/>
              <w:rPr>
                <w:rFonts w:hint="eastAsia" w:ascii="宋体" w:hAnsi="宋体" w:eastAsia="宋体" w:cs="宋体"/>
                <w:sz w:val="24"/>
                <w:szCs w:val="24"/>
                <w:vertAlign w:val="baseline"/>
                <w:lang w:eastAsia="zh-CN"/>
              </w:rPr>
            </w:pP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文件与来电处理：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vMerge w:val="continue"/>
          </w:tcPr>
          <w:p>
            <w:pPr>
              <w:jc w:val="center"/>
              <w:rPr>
                <w:rFonts w:hint="eastAsia" w:ascii="宋体" w:hAnsi="宋体" w:eastAsia="宋体" w:cs="宋体"/>
                <w:sz w:val="24"/>
                <w:szCs w:val="24"/>
                <w:vertAlign w:val="baseline"/>
                <w:lang w:eastAsia="zh-CN"/>
              </w:rPr>
            </w:pP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人员进出情况：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vMerge w:val="restart"/>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图书馆巡查</w:t>
            </w: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火、电、水情况：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vMerge w:val="continue"/>
            <w:tcBorders/>
          </w:tcPr>
          <w:p>
            <w:pPr>
              <w:jc w:val="center"/>
              <w:rPr>
                <w:rFonts w:hint="eastAsia" w:ascii="宋体" w:hAnsi="宋体" w:eastAsia="宋体" w:cs="宋体"/>
                <w:sz w:val="24"/>
                <w:szCs w:val="24"/>
                <w:vertAlign w:val="baseline"/>
                <w:lang w:eastAsia="zh-CN"/>
              </w:rPr>
            </w:pP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文献资源和设备安全情况：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vMerge w:val="continue"/>
            <w:tcBorders/>
          </w:tcPr>
          <w:p>
            <w:pPr>
              <w:jc w:val="center"/>
              <w:rPr>
                <w:rFonts w:hint="eastAsia" w:ascii="宋体" w:hAnsi="宋体" w:eastAsia="宋体" w:cs="宋体"/>
                <w:sz w:val="24"/>
                <w:szCs w:val="24"/>
                <w:vertAlign w:val="baseline"/>
                <w:lang w:eastAsia="zh-CN"/>
              </w:rPr>
            </w:pP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周边环境情况：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教学楼巡查</w:t>
            </w: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火、电、水等情况：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实验室巡查</w:t>
            </w: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火、电、水等情况：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vMerge w:val="restart"/>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运动场巡查</w:t>
            </w: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火、电、水等情况：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30" w:type="dxa"/>
            <w:vMerge w:val="continue"/>
            <w:tcBorders/>
          </w:tcPr>
          <w:p>
            <w:pPr>
              <w:jc w:val="center"/>
              <w:rPr>
                <w:rFonts w:hint="eastAsia" w:ascii="宋体" w:hAnsi="宋体" w:eastAsia="宋体" w:cs="宋体"/>
                <w:sz w:val="24"/>
                <w:szCs w:val="24"/>
                <w:vertAlign w:val="baseline"/>
                <w:lang w:eastAsia="zh-CN"/>
              </w:rPr>
            </w:pPr>
          </w:p>
        </w:tc>
        <w:tc>
          <w:tcPr>
            <w:tcW w:w="2355" w:type="dxa"/>
            <w:vMerge w:val="continue"/>
            <w:tcBorders/>
          </w:tcPr>
          <w:p>
            <w:pPr>
              <w:jc w:val="center"/>
              <w:rPr>
                <w:rFonts w:hint="eastAsia" w:ascii="宋体" w:hAnsi="宋体" w:eastAsia="宋体" w:cs="宋体"/>
                <w:sz w:val="24"/>
                <w:szCs w:val="24"/>
                <w:vertAlign w:val="baseline"/>
                <w:lang w:eastAsia="zh-CN"/>
              </w:rPr>
            </w:pPr>
          </w:p>
        </w:tc>
        <w:tc>
          <w:tcPr>
            <w:tcW w:w="4674" w:type="dxa"/>
            <w:gridSpan w:val="2"/>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周边环境情况：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59" w:type="dxa"/>
            <w:gridSpan w:val="4"/>
          </w:tcPr>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异常情况或突发事件记录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30" w:type="dxa"/>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异常情况</w:t>
            </w:r>
          </w:p>
        </w:tc>
        <w:tc>
          <w:tcPr>
            <w:tcW w:w="2355" w:type="dxa"/>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解决措施</w:t>
            </w:r>
          </w:p>
        </w:tc>
        <w:tc>
          <w:tcPr>
            <w:tcW w:w="2940" w:type="dxa"/>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突发事件</w:t>
            </w:r>
          </w:p>
        </w:tc>
        <w:tc>
          <w:tcPr>
            <w:tcW w:w="1734" w:type="dxa"/>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30" w:type="dxa"/>
          </w:tcPr>
          <w:p>
            <w:pPr>
              <w:rPr>
                <w:rFonts w:hint="eastAsia" w:ascii="宋体" w:hAnsi="宋体" w:eastAsia="宋体" w:cs="宋体"/>
                <w:sz w:val="24"/>
                <w:szCs w:val="24"/>
                <w:vertAlign w:val="baseline"/>
                <w:lang w:eastAsia="zh-CN"/>
              </w:rPr>
            </w:pPr>
          </w:p>
        </w:tc>
        <w:tc>
          <w:tcPr>
            <w:tcW w:w="2355" w:type="dxa"/>
          </w:tcPr>
          <w:p>
            <w:pPr>
              <w:rPr>
                <w:rFonts w:hint="eastAsia" w:ascii="宋体" w:hAnsi="宋体" w:eastAsia="宋体" w:cs="宋体"/>
                <w:sz w:val="24"/>
                <w:szCs w:val="24"/>
                <w:vertAlign w:val="baseline"/>
                <w:lang w:eastAsia="zh-CN"/>
              </w:rPr>
            </w:pPr>
          </w:p>
        </w:tc>
        <w:tc>
          <w:tcPr>
            <w:tcW w:w="2940" w:type="dxa"/>
          </w:tcPr>
          <w:p>
            <w:pPr>
              <w:rPr>
                <w:rFonts w:hint="eastAsia" w:ascii="宋体" w:hAnsi="宋体" w:eastAsia="宋体" w:cs="宋体"/>
                <w:sz w:val="24"/>
                <w:szCs w:val="24"/>
                <w:vertAlign w:val="baseline"/>
                <w:lang w:eastAsia="zh-CN"/>
              </w:rPr>
            </w:pPr>
          </w:p>
        </w:tc>
        <w:tc>
          <w:tcPr>
            <w:tcW w:w="1734" w:type="dxa"/>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30" w:type="dxa"/>
          </w:tcPr>
          <w:p>
            <w:pPr>
              <w:rPr>
                <w:rFonts w:hint="eastAsia" w:ascii="宋体" w:hAnsi="宋体" w:eastAsia="宋体" w:cs="宋体"/>
                <w:sz w:val="24"/>
                <w:szCs w:val="24"/>
                <w:vertAlign w:val="baseline"/>
                <w:lang w:eastAsia="zh-CN"/>
              </w:rPr>
            </w:pPr>
          </w:p>
        </w:tc>
        <w:tc>
          <w:tcPr>
            <w:tcW w:w="2355" w:type="dxa"/>
          </w:tcPr>
          <w:p>
            <w:pPr>
              <w:rPr>
                <w:rFonts w:hint="eastAsia" w:ascii="宋体" w:hAnsi="宋体" w:eastAsia="宋体" w:cs="宋体"/>
                <w:sz w:val="24"/>
                <w:szCs w:val="24"/>
                <w:vertAlign w:val="baseline"/>
                <w:lang w:eastAsia="zh-CN"/>
              </w:rPr>
            </w:pPr>
          </w:p>
        </w:tc>
        <w:tc>
          <w:tcPr>
            <w:tcW w:w="2940" w:type="dxa"/>
          </w:tcPr>
          <w:p>
            <w:pPr>
              <w:rPr>
                <w:rFonts w:hint="eastAsia" w:ascii="宋体" w:hAnsi="宋体" w:eastAsia="宋体" w:cs="宋体"/>
                <w:sz w:val="24"/>
                <w:szCs w:val="24"/>
                <w:vertAlign w:val="baseline"/>
                <w:lang w:eastAsia="zh-CN"/>
              </w:rPr>
            </w:pPr>
          </w:p>
        </w:tc>
        <w:tc>
          <w:tcPr>
            <w:tcW w:w="1734" w:type="dxa"/>
          </w:tcPr>
          <w:p>
            <w:pP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8359" w:type="dxa"/>
            <w:gridSpan w:val="4"/>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备注：</w:t>
            </w:r>
            <w:r>
              <w:rPr>
                <w:rFonts w:hint="eastAsia" w:ascii="宋体" w:hAnsi="宋体" w:eastAsia="宋体" w:cs="宋体"/>
                <w:sz w:val="21"/>
                <w:szCs w:val="21"/>
                <w:vertAlign w:val="baseline"/>
                <w:lang w:val="en-US" w:eastAsia="zh-CN"/>
              </w:rPr>
              <w:t>1. 值班人员要按照值班表安排按时到岗，认真值班</w:t>
            </w:r>
          </w:p>
          <w:p>
            <w:pPr>
              <w:numPr>
                <w:ilvl w:val="0"/>
                <w:numId w:val="1"/>
              </w:numPr>
              <w:spacing w:line="360" w:lineRule="auto"/>
              <w:ind w:left="720" w:leftChars="0" w:firstLine="0" w:firstLineChars="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值班人员值班当日上午、下午均需对校区关键场所进行巡视检查并据实认真填写值班情况记录表</w:t>
            </w:r>
          </w:p>
          <w:p>
            <w:pPr>
              <w:numPr>
                <w:ilvl w:val="0"/>
                <w:numId w:val="1"/>
              </w:numPr>
              <w:spacing w:line="360" w:lineRule="auto"/>
              <w:ind w:left="720" w:leftChars="0" w:firstLine="0" w:firstLineChars="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值班人员要对有关情况上情下达，保持手机畅通，并于值班当日17：00向责任值班责任领导汇报值班情况，并在学院钉钉群里上传值班记录表</w:t>
            </w:r>
          </w:p>
          <w:p>
            <w:pPr>
              <w:numPr>
                <w:ilvl w:val="0"/>
                <w:numId w:val="1"/>
              </w:numPr>
              <w:spacing w:line="360" w:lineRule="auto"/>
              <w:ind w:left="720" w:leftChars="0" w:firstLine="0" w:firstLineChars="0"/>
              <w:rPr>
                <w:rFonts w:hint="default" w:ascii="宋体" w:hAnsi="宋体" w:eastAsia="宋体" w:cs="宋体"/>
                <w:sz w:val="24"/>
                <w:szCs w:val="24"/>
                <w:vertAlign w:val="baseline"/>
                <w:lang w:val="en-US" w:eastAsia="zh-CN"/>
              </w:rPr>
            </w:pPr>
            <w:r>
              <w:rPr>
                <w:rFonts w:hint="eastAsia" w:ascii="宋体" w:hAnsi="宋体" w:eastAsia="宋体" w:cs="宋体"/>
                <w:sz w:val="21"/>
                <w:szCs w:val="21"/>
                <w:vertAlign w:val="baseline"/>
                <w:lang w:val="en-US" w:eastAsia="zh-CN"/>
              </w:rPr>
              <w:t>责任值班人员值班期间不得离开绵阳并保持手机畅通</w:t>
            </w:r>
          </w:p>
        </w:tc>
      </w:tr>
    </w:tbl>
    <w:p>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09454"/>
    <w:multiLevelType w:val="singleLevel"/>
    <w:tmpl w:val="E8C09454"/>
    <w:lvl w:ilvl="0" w:tentative="0">
      <w:start w:val="2"/>
      <w:numFmt w:val="decimal"/>
      <w:suff w:val="space"/>
      <w:lvlText w:val="%1."/>
      <w:lvlJc w:val="left"/>
      <w:pPr>
        <w:ind w:left="7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ZDc3ZGQ1ODE0OWFmZDMxY2IzY2QzYWY5NzA1NWIifQ=="/>
  </w:docVars>
  <w:rsids>
    <w:rsidRoot w:val="6B7D0D9E"/>
    <w:rsid w:val="6B7D0D9E"/>
    <w:rsid w:val="7FA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2024-01-17T04:57:00Z</dcterms:created>
  <dc:creator>吾爱</dc:creator>
  <cp:lastModifiedBy>吾爱</cp:lastModifiedBy>
  <dcterms:modified xsi:type="dcterms:W3CDTF">2024-01-17T07:01:38Z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8D7E7CCD6BF84CFD924741F01418A452_11</vt:lpwstr>
  </property>
</Properties>
</file>